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B937" w14:textId="493BDAC2" w:rsidR="00033038" w:rsidRPr="00033038" w:rsidRDefault="00033038" w:rsidP="00033038">
      <w:pPr>
        <w:rPr>
          <w:rFonts w:ascii="Arial" w:hAnsi="Arial" w:cs="Arial"/>
          <w:b/>
          <w:sz w:val="24"/>
          <w:szCs w:val="24"/>
        </w:rPr>
      </w:pPr>
      <w:r w:rsidRPr="00033038">
        <w:rPr>
          <w:rFonts w:ascii="Arial" w:hAnsi="Arial" w:cs="Arial"/>
          <w:b/>
          <w:sz w:val="24"/>
          <w:szCs w:val="24"/>
        </w:rPr>
        <w:t>Goals</w:t>
      </w:r>
    </w:p>
    <w:p w14:paraId="38920DCA" w14:textId="484C367E" w:rsidR="00033038" w:rsidRPr="00033038" w:rsidRDefault="00033038" w:rsidP="00033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Ensure that all individuals who counsel students on university/college/CEGEP-related issues have knowledge of the Office of the Ombudsperson and the role we can play in a student’s time at the institution.</w:t>
      </w:r>
    </w:p>
    <w:p w14:paraId="05409DF5" w14:textId="77777777" w:rsidR="00033038" w:rsidRPr="00033038" w:rsidRDefault="00033038" w:rsidP="00033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Ensure that students at the CEGEP/college/university have easy access to information about the Office of the Ombudsperson and how we can guide them through concerns at the Institution.</w:t>
      </w:r>
    </w:p>
    <w:p w14:paraId="2ED34C80" w14:textId="40BC54C6" w:rsidR="00033038" w:rsidRPr="00033038" w:rsidRDefault="00033038" w:rsidP="00033038">
      <w:pPr>
        <w:rPr>
          <w:rFonts w:ascii="Arial" w:hAnsi="Arial" w:cs="Arial"/>
          <w:b/>
          <w:sz w:val="24"/>
          <w:szCs w:val="24"/>
        </w:rPr>
      </w:pPr>
      <w:r w:rsidRPr="00033038">
        <w:rPr>
          <w:rFonts w:ascii="Arial" w:hAnsi="Arial" w:cs="Arial"/>
          <w:b/>
          <w:sz w:val="24"/>
          <w:szCs w:val="24"/>
        </w:rPr>
        <w:t>Target Audiences/Stakeholders</w:t>
      </w:r>
    </w:p>
    <w:p w14:paraId="5D20A7F5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First year students</w:t>
      </w:r>
    </w:p>
    <w:p w14:paraId="5B7509B2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upper year students</w:t>
      </w:r>
    </w:p>
    <w:p w14:paraId="00ACECE7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graduate students</w:t>
      </w:r>
    </w:p>
    <w:p w14:paraId="2235B252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parents</w:t>
      </w:r>
    </w:p>
    <w:p w14:paraId="03265401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international students</w:t>
      </w:r>
    </w:p>
    <w:p w14:paraId="168D54AC" w14:textId="77777777" w:rsid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staff</w:t>
      </w:r>
    </w:p>
    <w:p w14:paraId="140D0E7E" w14:textId="51ED456D" w:rsidR="00033038" w:rsidRPr="00033038" w:rsidRDefault="00033038" w:rsidP="00033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038">
        <w:rPr>
          <w:rFonts w:ascii="Arial" w:hAnsi="Arial" w:cs="Arial"/>
          <w:sz w:val="24"/>
          <w:szCs w:val="24"/>
        </w:rPr>
        <w:t>faculty</w:t>
      </w:r>
    </w:p>
    <w:p w14:paraId="41F7AC54" w14:textId="48CDCF98" w:rsidR="00033038" w:rsidRPr="00033038" w:rsidRDefault="00033038">
      <w:pPr>
        <w:rPr>
          <w:rFonts w:ascii="Arial" w:hAnsi="Arial" w:cs="Arial"/>
          <w:b/>
          <w:sz w:val="24"/>
          <w:szCs w:val="24"/>
        </w:rPr>
      </w:pPr>
      <w:r w:rsidRPr="00033038">
        <w:rPr>
          <w:rFonts w:ascii="Arial" w:hAnsi="Arial" w:cs="Arial"/>
          <w:b/>
          <w:sz w:val="24"/>
          <w:szCs w:val="24"/>
        </w:rPr>
        <w:t>Communications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965"/>
        <w:gridCol w:w="1763"/>
        <w:gridCol w:w="2489"/>
        <w:gridCol w:w="1562"/>
        <w:gridCol w:w="1523"/>
        <w:gridCol w:w="1346"/>
      </w:tblGrid>
      <w:tr w:rsidR="00667A05" w14:paraId="6C8CC51C" w14:textId="25A13794" w:rsidTr="00033038">
        <w:trPr>
          <w:trHeight w:val="983"/>
          <w:tblHeader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7C2FC071" w14:textId="25A06333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Stakeholder</w:t>
            </w: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665EB8" w:themeFill="accent4"/>
          </w:tcPr>
          <w:p w14:paraId="4EF6A4B0" w14:textId="5E503EE7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Messaging related to this stakeholder</w:t>
            </w:r>
          </w:p>
        </w:tc>
        <w:tc>
          <w:tcPr>
            <w:tcW w:w="1763" w:type="dxa"/>
            <w:shd w:val="clear" w:color="auto" w:fill="665EB8" w:themeFill="accent4"/>
          </w:tcPr>
          <w:p w14:paraId="6718D4AB" w14:textId="58E51920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Objective</w:t>
            </w:r>
          </w:p>
        </w:tc>
        <w:tc>
          <w:tcPr>
            <w:tcW w:w="2489" w:type="dxa"/>
            <w:shd w:val="clear" w:color="auto" w:fill="665EB8" w:themeFill="accent4"/>
          </w:tcPr>
          <w:p w14:paraId="3EA39111" w14:textId="12930EA2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Tactics</w:t>
            </w:r>
          </w:p>
        </w:tc>
        <w:tc>
          <w:tcPr>
            <w:tcW w:w="1562" w:type="dxa"/>
            <w:shd w:val="clear" w:color="auto" w:fill="665EB8" w:themeFill="accent4"/>
          </w:tcPr>
          <w:p w14:paraId="24011710" w14:textId="2529C593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1523" w:type="dxa"/>
            <w:shd w:val="clear" w:color="auto" w:fill="665EB8" w:themeFill="accent4"/>
          </w:tcPr>
          <w:p w14:paraId="58DE8B24" w14:textId="7493F2FB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Who</w:t>
            </w:r>
          </w:p>
        </w:tc>
        <w:tc>
          <w:tcPr>
            <w:tcW w:w="1346" w:type="dxa"/>
            <w:shd w:val="clear" w:color="auto" w:fill="665EB8" w:themeFill="accent4"/>
          </w:tcPr>
          <w:p w14:paraId="34DDF75E" w14:textId="2F448C45" w:rsidR="00667A05" w:rsidRPr="00667A05" w:rsidRDefault="00667A05" w:rsidP="00667A05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67A05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Cost</w:t>
            </w:r>
          </w:p>
        </w:tc>
      </w:tr>
      <w:tr w:rsidR="00667A05" w14:paraId="05E85C5C" w14:textId="42679961" w:rsidTr="00033038">
        <w:trPr>
          <w:trHeight w:val="338"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48934E79" w14:textId="77777777" w:rsidR="00667A05" w:rsidRDefault="00667A05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Senior administration at the University</w:t>
            </w:r>
          </w:p>
          <w:p w14:paraId="6F72A5A0" w14:textId="42BB84E8" w:rsidR="00847290" w:rsidRPr="006438DB" w:rsidRDefault="00847290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(example of Western)</w:t>
            </w: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BCCCF0" w:themeFill="accent6" w:themeFillTint="66"/>
          </w:tcPr>
          <w:p w14:paraId="1C48DF0B" w14:textId="5B5542BD" w:rsidR="00667A05" w:rsidRPr="00552CE8" w:rsidRDefault="00667A05">
            <w:pPr>
              <w:rPr>
                <w:sz w:val="28"/>
                <w:szCs w:val="28"/>
              </w:rPr>
            </w:pPr>
            <w:proofErr w:type="spellStart"/>
            <w:r w:rsidRPr="00552CE8">
              <w:rPr>
                <w:sz w:val="28"/>
                <w:szCs w:val="28"/>
              </w:rPr>
              <w:t>Ombuds</w:t>
            </w:r>
            <w:proofErr w:type="spellEnd"/>
            <w:r w:rsidRPr="00552CE8">
              <w:rPr>
                <w:sz w:val="28"/>
                <w:szCs w:val="28"/>
              </w:rPr>
              <w:t xml:space="preserve"> reduces the risk to the University</w:t>
            </w:r>
          </w:p>
        </w:tc>
        <w:tc>
          <w:tcPr>
            <w:tcW w:w="1763" w:type="dxa"/>
            <w:shd w:val="clear" w:color="auto" w:fill="BCCCF0" w:themeFill="accent6" w:themeFillTint="66"/>
          </w:tcPr>
          <w:p w14:paraId="32A15C79" w14:textId="59CD710F" w:rsidR="00667A05" w:rsidRPr="00552CE8" w:rsidRDefault="00667A05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 xml:space="preserve">At least two touch points per year </w:t>
            </w:r>
          </w:p>
        </w:tc>
        <w:tc>
          <w:tcPr>
            <w:tcW w:w="2489" w:type="dxa"/>
            <w:shd w:val="clear" w:color="auto" w:fill="BCCCF0" w:themeFill="accent6" w:themeFillTint="66"/>
          </w:tcPr>
          <w:p w14:paraId="56E57BB4" w14:textId="0162B7B5" w:rsidR="00667A05" w:rsidRPr="00552CE8" w:rsidRDefault="00667A05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>Annual report presentation to Board Audit Committee</w:t>
            </w:r>
          </w:p>
          <w:p w14:paraId="432E40F8" w14:textId="607F35FF" w:rsidR="00FC66BA" w:rsidRPr="00552CE8" w:rsidRDefault="00FC66BA">
            <w:pPr>
              <w:rPr>
                <w:sz w:val="28"/>
                <w:szCs w:val="28"/>
              </w:rPr>
            </w:pPr>
          </w:p>
          <w:p w14:paraId="0B475D05" w14:textId="2FF3CCD2" w:rsidR="00FC66BA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>Participation in “Leader Lunches”</w:t>
            </w:r>
          </w:p>
          <w:p w14:paraId="73655FA0" w14:textId="5B9DFC50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BCCCF0" w:themeFill="accent6" w:themeFillTint="66"/>
          </w:tcPr>
          <w:p w14:paraId="602E22B8" w14:textId="77777777" w:rsidR="00667A05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>January 2019</w:t>
            </w:r>
          </w:p>
          <w:p w14:paraId="6E75481A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75BBE224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6FBE235A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19E40110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13127CE1" w14:textId="64BF76DE" w:rsidR="00FC66BA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 xml:space="preserve">Three times </w:t>
            </w:r>
            <w:r w:rsidRPr="00552CE8">
              <w:rPr>
                <w:sz w:val="28"/>
                <w:szCs w:val="28"/>
              </w:rPr>
              <w:lastRenderedPageBreak/>
              <w:t>through year</w:t>
            </w:r>
          </w:p>
        </w:tc>
        <w:tc>
          <w:tcPr>
            <w:tcW w:w="1523" w:type="dxa"/>
            <w:shd w:val="clear" w:color="auto" w:fill="BCCCF0" w:themeFill="accent6" w:themeFillTint="66"/>
          </w:tcPr>
          <w:p w14:paraId="43C31D84" w14:textId="77777777" w:rsidR="00667A05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lastRenderedPageBreak/>
              <w:t>Jennifer</w:t>
            </w:r>
          </w:p>
          <w:p w14:paraId="2FB4D45F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1732E8B8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5A445018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614CE784" w14:textId="77777777" w:rsidR="00FC66BA" w:rsidRPr="00552CE8" w:rsidRDefault="00FC66BA">
            <w:pPr>
              <w:rPr>
                <w:sz w:val="28"/>
                <w:szCs w:val="28"/>
              </w:rPr>
            </w:pPr>
          </w:p>
          <w:p w14:paraId="474D920A" w14:textId="6701851F" w:rsidR="00FC66BA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>Jen</w:t>
            </w:r>
            <w:r w:rsidR="00847290">
              <w:rPr>
                <w:sz w:val="28"/>
                <w:szCs w:val="28"/>
              </w:rPr>
              <w:t xml:space="preserve">nifer </w:t>
            </w:r>
          </w:p>
        </w:tc>
        <w:tc>
          <w:tcPr>
            <w:tcW w:w="1346" w:type="dxa"/>
            <w:shd w:val="clear" w:color="auto" w:fill="BCCCF0" w:themeFill="accent6" w:themeFillTint="66"/>
          </w:tcPr>
          <w:p w14:paraId="1B73FBFA" w14:textId="58894060" w:rsidR="00667A05" w:rsidRPr="00552CE8" w:rsidRDefault="00FC66BA">
            <w:pPr>
              <w:rPr>
                <w:sz w:val="28"/>
                <w:szCs w:val="28"/>
              </w:rPr>
            </w:pPr>
            <w:r w:rsidRPr="00552CE8">
              <w:rPr>
                <w:sz w:val="28"/>
                <w:szCs w:val="28"/>
              </w:rPr>
              <w:t xml:space="preserve">No cost to either </w:t>
            </w:r>
          </w:p>
        </w:tc>
      </w:tr>
      <w:tr w:rsidR="006E7817" w14:paraId="1088D6B6" w14:textId="77777777" w:rsidTr="00033038">
        <w:trPr>
          <w:trHeight w:val="338"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062ACAA3" w14:textId="77777777" w:rsidR="006E7817" w:rsidRDefault="006E7817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Student leaders</w:t>
            </w:r>
          </w:p>
          <w:p w14:paraId="7864E1AD" w14:textId="3F0A389E" w:rsidR="006438DB" w:rsidRPr="006438DB" w:rsidRDefault="006438DB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BCCCF0" w:themeFill="accent6" w:themeFillTint="66"/>
          </w:tcPr>
          <w:p w14:paraId="7607CF54" w14:textId="77777777" w:rsidR="006E7817" w:rsidRDefault="0084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Ombuds</w:t>
            </w:r>
            <w:proofErr w:type="spellEnd"/>
            <w:r>
              <w:rPr>
                <w:sz w:val="28"/>
                <w:szCs w:val="28"/>
              </w:rPr>
              <w:t xml:space="preserve"> are the policy experts.</w:t>
            </w:r>
          </w:p>
          <w:p w14:paraId="1F02FCBC" w14:textId="77777777" w:rsidR="00847290" w:rsidRDefault="00847290">
            <w:pPr>
              <w:rPr>
                <w:sz w:val="28"/>
                <w:szCs w:val="28"/>
              </w:rPr>
            </w:pPr>
          </w:p>
          <w:p w14:paraId="51329C0A" w14:textId="16E41E21" w:rsidR="00847290" w:rsidRPr="00552CE8" w:rsidRDefault="0084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Ombuds</w:t>
            </w:r>
            <w:proofErr w:type="spellEnd"/>
            <w:r>
              <w:rPr>
                <w:sz w:val="28"/>
                <w:szCs w:val="28"/>
              </w:rPr>
              <w:t xml:space="preserve"> can help student leaders increase the capacity of what they provide to students. </w:t>
            </w:r>
          </w:p>
        </w:tc>
        <w:tc>
          <w:tcPr>
            <w:tcW w:w="1763" w:type="dxa"/>
            <w:shd w:val="clear" w:color="auto" w:fill="BCCCF0" w:themeFill="accent6" w:themeFillTint="66"/>
          </w:tcPr>
          <w:p w14:paraId="1D98FE95" w14:textId="19CAFE52" w:rsidR="006E7817" w:rsidRPr="00552CE8" w:rsidRDefault="0084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least three opportunities for in depth contact with student leaders each scholastic year.</w:t>
            </w:r>
          </w:p>
        </w:tc>
        <w:tc>
          <w:tcPr>
            <w:tcW w:w="2489" w:type="dxa"/>
            <w:shd w:val="clear" w:color="auto" w:fill="BCCCF0" w:themeFill="accent6" w:themeFillTint="66"/>
          </w:tcPr>
          <w:p w14:paraId="116B5088" w14:textId="4D5E526F" w:rsidR="006E7817" w:rsidRPr="00552CE8" w:rsidRDefault="006E7817" w:rsidP="00552CE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2" w:type="dxa"/>
            <w:shd w:val="clear" w:color="auto" w:fill="BCCCF0" w:themeFill="accent6" w:themeFillTint="66"/>
          </w:tcPr>
          <w:p w14:paraId="5429ABAB" w14:textId="41D93A35" w:rsidR="00552CE8" w:rsidRPr="00552CE8" w:rsidRDefault="00552CE8" w:rsidP="00552CE8">
            <w:pPr>
              <w:rPr>
                <w:sz w:val="28"/>
                <w:szCs w:val="28"/>
              </w:rPr>
            </w:pPr>
          </w:p>
          <w:p w14:paraId="5CFD1FEF" w14:textId="3CE0CFE4" w:rsidR="006E7817" w:rsidRPr="00552CE8" w:rsidRDefault="006E781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BCCCF0" w:themeFill="accent6" w:themeFillTint="66"/>
          </w:tcPr>
          <w:p w14:paraId="75BF0C4E" w14:textId="459ACF28" w:rsidR="006E7817" w:rsidRPr="00552CE8" w:rsidRDefault="006E7817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BCCCF0" w:themeFill="accent6" w:themeFillTint="66"/>
          </w:tcPr>
          <w:p w14:paraId="3D480F89" w14:textId="5F0A0B72" w:rsidR="006E7817" w:rsidRPr="00552CE8" w:rsidRDefault="006E7817">
            <w:pPr>
              <w:rPr>
                <w:sz w:val="28"/>
                <w:szCs w:val="28"/>
              </w:rPr>
            </w:pPr>
          </w:p>
        </w:tc>
      </w:tr>
      <w:tr w:rsidR="00667A05" w14:paraId="4F618D2D" w14:textId="4B966236" w:rsidTr="00033038">
        <w:trPr>
          <w:trHeight w:val="338"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1E2D1CD7" w14:textId="2C189D7B" w:rsidR="00667A05" w:rsidRDefault="00FC66BA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Undergraduate students</w:t>
            </w:r>
            <w:r w:rsidR="00D570E8"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 xml:space="preserve"> </w:t>
            </w:r>
            <w:r w:rsid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–</w:t>
            </w:r>
            <w:r w:rsidR="00D570E8"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 xml:space="preserve"> </w:t>
            </w:r>
            <w:r w:rsid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first year</w:t>
            </w:r>
          </w:p>
          <w:p w14:paraId="3E2BD6EA" w14:textId="32AC7C66" w:rsidR="006438DB" w:rsidRPr="006438DB" w:rsidRDefault="006438DB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BCCCF0" w:themeFill="accent6" w:themeFillTint="66"/>
          </w:tcPr>
          <w:p w14:paraId="2F2F8B03" w14:textId="77777777" w:rsidR="00667A05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Ombudsperson is here for you in the interest of fairness. </w:t>
            </w:r>
          </w:p>
          <w:p w14:paraId="422F276B" w14:textId="77777777" w:rsidR="003244D9" w:rsidRDefault="003244D9">
            <w:pPr>
              <w:rPr>
                <w:sz w:val="28"/>
                <w:szCs w:val="28"/>
              </w:rPr>
            </w:pPr>
          </w:p>
          <w:p w14:paraId="1ED00058" w14:textId="77777777" w:rsidR="003244D9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Ombudsperson is confidential, </w:t>
            </w:r>
            <w:r>
              <w:rPr>
                <w:sz w:val="28"/>
                <w:szCs w:val="28"/>
              </w:rPr>
              <w:lastRenderedPageBreak/>
              <w:t xml:space="preserve">impartial and independent. </w:t>
            </w:r>
          </w:p>
          <w:p w14:paraId="0C8A3DF6" w14:textId="77777777" w:rsidR="003244D9" w:rsidRDefault="003244D9">
            <w:pPr>
              <w:rPr>
                <w:sz w:val="28"/>
                <w:szCs w:val="28"/>
              </w:rPr>
            </w:pPr>
          </w:p>
          <w:p w14:paraId="0CE87024" w14:textId="77777777" w:rsidR="003244D9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Ombudsperson can guide you through any institution-related concern. </w:t>
            </w:r>
          </w:p>
          <w:p w14:paraId="70829E14" w14:textId="77777777" w:rsidR="003244D9" w:rsidRDefault="003244D9">
            <w:pPr>
              <w:rPr>
                <w:sz w:val="28"/>
                <w:szCs w:val="28"/>
              </w:rPr>
            </w:pPr>
          </w:p>
          <w:p w14:paraId="32E0B044" w14:textId="41B06DA0" w:rsidR="003244D9" w:rsidRPr="00552CE8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“Let’s all play nice in the sandbox”</w:t>
            </w:r>
          </w:p>
        </w:tc>
        <w:tc>
          <w:tcPr>
            <w:tcW w:w="1763" w:type="dxa"/>
            <w:shd w:val="clear" w:color="auto" w:fill="BCCCF0" w:themeFill="accent6" w:themeFillTint="66"/>
          </w:tcPr>
          <w:p w14:paraId="57B89830" w14:textId="77777777" w:rsidR="00667A05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 exposure, 30% contact</w:t>
            </w:r>
          </w:p>
          <w:p w14:paraId="7F6A5273" w14:textId="77777777" w:rsidR="003244D9" w:rsidRDefault="003244D9">
            <w:pPr>
              <w:rPr>
                <w:sz w:val="28"/>
                <w:szCs w:val="28"/>
              </w:rPr>
            </w:pPr>
          </w:p>
          <w:p w14:paraId="70D6F1B3" w14:textId="7EF8FAC5" w:rsidR="003244D9" w:rsidRPr="00552CE8" w:rsidRDefault="003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Multiple touch points, in multiple formats</w:t>
            </w:r>
            <w:r w:rsidR="00096F13">
              <w:rPr>
                <w:sz w:val="28"/>
                <w:szCs w:val="28"/>
              </w:rPr>
              <w:t xml:space="preserve"> at multiple </w:t>
            </w:r>
            <w:r w:rsidR="00096F13">
              <w:rPr>
                <w:sz w:val="28"/>
                <w:szCs w:val="28"/>
              </w:rPr>
              <w:lastRenderedPageBreak/>
              <w:t>times throughout the year.</w:t>
            </w:r>
          </w:p>
        </w:tc>
        <w:tc>
          <w:tcPr>
            <w:tcW w:w="2489" w:type="dxa"/>
            <w:shd w:val="clear" w:color="auto" w:fill="BCCCF0" w:themeFill="accent6" w:themeFillTint="66"/>
          </w:tcPr>
          <w:p w14:paraId="0103476F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BCCCF0" w:themeFill="accent6" w:themeFillTint="66"/>
          </w:tcPr>
          <w:p w14:paraId="75D813E9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BCCCF0" w:themeFill="accent6" w:themeFillTint="66"/>
          </w:tcPr>
          <w:p w14:paraId="7D80C063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BCCCF0" w:themeFill="accent6" w:themeFillTint="66"/>
          </w:tcPr>
          <w:p w14:paraId="63429AE4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</w:tr>
      <w:tr w:rsidR="00667A05" w14:paraId="4BC90400" w14:textId="0D3CFE8A" w:rsidTr="00033038">
        <w:trPr>
          <w:trHeight w:val="338"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087EC007" w14:textId="0A469335" w:rsidR="00667A05" w:rsidRDefault="00D570E8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>Undergraduate students –</w:t>
            </w:r>
            <w:r w:rsid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 xml:space="preserve"> upper year) </w:t>
            </w:r>
          </w:p>
          <w:p w14:paraId="6C71D0E2" w14:textId="43B81808" w:rsidR="006438DB" w:rsidRPr="006438DB" w:rsidRDefault="006438DB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BCCCF0" w:themeFill="accent6" w:themeFillTint="66"/>
          </w:tcPr>
          <w:p w14:paraId="656770A0" w14:textId="3BAD0E66" w:rsidR="00667A05" w:rsidRPr="00552CE8" w:rsidRDefault="0009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Ombuds</w:t>
            </w:r>
            <w:proofErr w:type="spellEnd"/>
            <w:r>
              <w:rPr>
                <w:sz w:val="28"/>
                <w:szCs w:val="28"/>
              </w:rPr>
              <w:t xml:space="preserve"> promotes fairness; provides guidance regarding progressing in your program – avoiding </w:t>
            </w:r>
            <w:r>
              <w:rPr>
                <w:sz w:val="28"/>
                <w:szCs w:val="28"/>
              </w:rPr>
              <w:lastRenderedPageBreak/>
              <w:t>obstacles to graduation; provides specific referrals to guide students through their program.</w:t>
            </w:r>
          </w:p>
        </w:tc>
        <w:tc>
          <w:tcPr>
            <w:tcW w:w="1763" w:type="dxa"/>
            <w:shd w:val="clear" w:color="auto" w:fill="BCCCF0" w:themeFill="accent6" w:themeFillTint="66"/>
          </w:tcPr>
          <w:p w14:paraId="4C589426" w14:textId="57E1A9D1" w:rsidR="00667A05" w:rsidRPr="00552CE8" w:rsidRDefault="0009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At least one activity per term that targets this group.</w:t>
            </w:r>
          </w:p>
        </w:tc>
        <w:tc>
          <w:tcPr>
            <w:tcW w:w="2489" w:type="dxa"/>
            <w:shd w:val="clear" w:color="auto" w:fill="BCCCF0" w:themeFill="accent6" w:themeFillTint="66"/>
          </w:tcPr>
          <w:p w14:paraId="7D385077" w14:textId="48CC78FF" w:rsidR="00667A05" w:rsidRPr="00552CE8" w:rsidRDefault="00536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on appropriate s</w:t>
            </w:r>
            <w:r w:rsidR="00096F13">
              <w:rPr>
                <w:sz w:val="28"/>
                <w:szCs w:val="28"/>
              </w:rPr>
              <w:t xml:space="preserve">ocial media channels; messaging in various office of the registrar and faculty newsletters; speak to student groups; </w:t>
            </w:r>
            <w:r>
              <w:rPr>
                <w:sz w:val="28"/>
                <w:szCs w:val="28"/>
              </w:rPr>
              <w:t xml:space="preserve">publish in </w:t>
            </w:r>
            <w:r w:rsidR="00096F13">
              <w:rPr>
                <w:sz w:val="28"/>
                <w:szCs w:val="28"/>
              </w:rPr>
              <w:lastRenderedPageBreak/>
              <w:t>campus newspaper</w:t>
            </w:r>
            <w:r>
              <w:rPr>
                <w:sz w:val="28"/>
                <w:szCs w:val="28"/>
              </w:rPr>
              <w:t>s</w:t>
            </w:r>
            <w:r w:rsidR="00096F13">
              <w:rPr>
                <w:sz w:val="28"/>
                <w:szCs w:val="28"/>
              </w:rPr>
              <w:t>; speak to office of the registrar</w:t>
            </w:r>
            <w:r>
              <w:rPr>
                <w:sz w:val="28"/>
                <w:szCs w:val="28"/>
              </w:rPr>
              <w:t xml:space="preserve">, </w:t>
            </w:r>
            <w:r w:rsidR="00096F13">
              <w:rPr>
                <w:sz w:val="28"/>
                <w:szCs w:val="28"/>
              </w:rPr>
              <w:t xml:space="preserve">academic </w:t>
            </w:r>
            <w:r>
              <w:rPr>
                <w:sz w:val="28"/>
                <w:szCs w:val="28"/>
              </w:rPr>
              <w:t>advisors/counselors and graduation office</w:t>
            </w:r>
          </w:p>
        </w:tc>
        <w:tc>
          <w:tcPr>
            <w:tcW w:w="1562" w:type="dxa"/>
            <w:shd w:val="clear" w:color="auto" w:fill="BCCCF0" w:themeFill="accent6" w:themeFillTint="66"/>
          </w:tcPr>
          <w:p w14:paraId="7473DD30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BCCCF0" w:themeFill="accent6" w:themeFillTint="66"/>
          </w:tcPr>
          <w:p w14:paraId="1BF9734D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BCCCF0" w:themeFill="accent6" w:themeFillTint="66"/>
          </w:tcPr>
          <w:p w14:paraId="77FDA236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</w:tr>
      <w:tr w:rsidR="00667A05" w14:paraId="028FD1AD" w14:textId="5844E6A7" w:rsidTr="00033038">
        <w:trPr>
          <w:trHeight w:val="338"/>
        </w:trPr>
        <w:tc>
          <w:tcPr>
            <w:tcW w:w="2302" w:type="dxa"/>
            <w:tcBorders>
              <w:top w:val="single" w:sz="4" w:space="0" w:color="9B57D3" w:themeColor="accent2"/>
              <w:left w:val="single" w:sz="4" w:space="0" w:color="9B57D3" w:themeColor="accent2"/>
              <w:bottom w:val="single" w:sz="4" w:space="0" w:color="9B57D3" w:themeColor="accent2"/>
              <w:right w:val="single" w:sz="4" w:space="0" w:color="9B57D3" w:themeColor="accent2"/>
            </w:tcBorders>
            <w:shd w:val="clear" w:color="auto" w:fill="665EB8" w:themeFill="accent4"/>
          </w:tcPr>
          <w:p w14:paraId="79AB4239" w14:textId="16448984" w:rsidR="00667A05" w:rsidRPr="006438DB" w:rsidRDefault="00552CE8">
            <w:pPr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 w:rsidRPr="006438DB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 xml:space="preserve">Graduate students </w:t>
            </w:r>
          </w:p>
        </w:tc>
        <w:tc>
          <w:tcPr>
            <w:tcW w:w="1965" w:type="dxa"/>
            <w:tcBorders>
              <w:left w:val="single" w:sz="4" w:space="0" w:color="9B57D3" w:themeColor="accent2"/>
            </w:tcBorders>
            <w:shd w:val="clear" w:color="auto" w:fill="BCCCF0" w:themeFill="accent6" w:themeFillTint="66"/>
          </w:tcPr>
          <w:p w14:paraId="3A1876D3" w14:textId="681E1B20" w:rsidR="00667A05" w:rsidRPr="00552CE8" w:rsidRDefault="00536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Office of the Ombudsperson is a safe, confidential resource to provide expert advice to graduate students who may require counsel on matters which cannot be resolved through </w:t>
            </w:r>
            <w:r>
              <w:rPr>
                <w:sz w:val="28"/>
                <w:szCs w:val="28"/>
              </w:rPr>
              <w:lastRenderedPageBreak/>
              <w:t>existing channels at the institution.</w:t>
            </w:r>
          </w:p>
        </w:tc>
        <w:tc>
          <w:tcPr>
            <w:tcW w:w="1763" w:type="dxa"/>
            <w:shd w:val="clear" w:color="auto" w:fill="BCCCF0" w:themeFill="accent6" w:themeFillTint="66"/>
          </w:tcPr>
          <w:p w14:paraId="579348B4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BCCCF0" w:themeFill="accent6" w:themeFillTint="66"/>
          </w:tcPr>
          <w:p w14:paraId="4859093E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BCCCF0" w:themeFill="accent6" w:themeFillTint="66"/>
          </w:tcPr>
          <w:p w14:paraId="1AC45FED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BCCCF0" w:themeFill="accent6" w:themeFillTint="66"/>
          </w:tcPr>
          <w:p w14:paraId="7AA0B6C0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BCCCF0" w:themeFill="accent6" w:themeFillTint="66"/>
          </w:tcPr>
          <w:p w14:paraId="66518A61" w14:textId="77777777" w:rsidR="00667A05" w:rsidRPr="00552CE8" w:rsidRDefault="00667A05">
            <w:pPr>
              <w:rPr>
                <w:sz w:val="28"/>
                <w:szCs w:val="28"/>
              </w:rPr>
            </w:pPr>
          </w:p>
        </w:tc>
      </w:tr>
    </w:tbl>
    <w:p w14:paraId="260A36B7" w14:textId="77777777" w:rsidR="000A2532" w:rsidRDefault="000A2532"/>
    <w:sectPr w:rsidR="000A2532" w:rsidSect="00667A05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D51B" w14:textId="77777777" w:rsidR="00A235BB" w:rsidRDefault="00A235BB" w:rsidP="004063D7">
      <w:pPr>
        <w:spacing w:after="0" w:line="240" w:lineRule="auto"/>
      </w:pPr>
      <w:r>
        <w:separator/>
      </w:r>
    </w:p>
  </w:endnote>
  <w:endnote w:type="continuationSeparator" w:id="0">
    <w:p w14:paraId="5D4670DF" w14:textId="77777777" w:rsidR="00A235BB" w:rsidRDefault="00A235BB" w:rsidP="0040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207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DD129" w14:textId="736CDE93" w:rsidR="004063D7" w:rsidRDefault="004063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92885" w14:textId="77777777" w:rsidR="004063D7" w:rsidRDefault="00406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0F16" w14:textId="77777777" w:rsidR="00A235BB" w:rsidRDefault="00A235BB" w:rsidP="004063D7">
      <w:pPr>
        <w:spacing w:after="0" w:line="240" w:lineRule="auto"/>
      </w:pPr>
      <w:r>
        <w:separator/>
      </w:r>
    </w:p>
  </w:footnote>
  <w:footnote w:type="continuationSeparator" w:id="0">
    <w:p w14:paraId="2603F914" w14:textId="77777777" w:rsidR="00A235BB" w:rsidRDefault="00A235BB" w:rsidP="00406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132"/>
    <w:multiLevelType w:val="hybridMultilevel"/>
    <w:tmpl w:val="54B05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AE2"/>
    <w:multiLevelType w:val="hybridMultilevel"/>
    <w:tmpl w:val="0AE41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05"/>
    <w:rsid w:val="00033038"/>
    <w:rsid w:val="00096F13"/>
    <w:rsid w:val="000A2532"/>
    <w:rsid w:val="003244D9"/>
    <w:rsid w:val="004063D7"/>
    <w:rsid w:val="00412479"/>
    <w:rsid w:val="005360FD"/>
    <w:rsid w:val="00552CE8"/>
    <w:rsid w:val="006438DB"/>
    <w:rsid w:val="00667A05"/>
    <w:rsid w:val="006E7817"/>
    <w:rsid w:val="007B731A"/>
    <w:rsid w:val="00847290"/>
    <w:rsid w:val="00986E00"/>
    <w:rsid w:val="00A235BB"/>
    <w:rsid w:val="00A80ABA"/>
    <w:rsid w:val="00D570E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A3C4"/>
  <w15:chartTrackingRefBased/>
  <w15:docId w15:val="{F572779D-5533-4590-9700-66A81C9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33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D7"/>
  </w:style>
  <w:style w:type="paragraph" w:styleId="Footer">
    <w:name w:val="footer"/>
    <w:basedOn w:val="Normal"/>
    <w:link w:val="FooterChar"/>
    <w:uiPriority w:val="99"/>
    <w:unhideWhenUsed/>
    <w:rsid w:val="004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Meister</dc:creator>
  <cp:keywords/>
  <dc:description/>
  <cp:lastModifiedBy>Jennifer Meister</cp:lastModifiedBy>
  <cp:revision>13</cp:revision>
  <dcterms:created xsi:type="dcterms:W3CDTF">2018-11-07T03:32:00Z</dcterms:created>
  <dcterms:modified xsi:type="dcterms:W3CDTF">2018-11-11T02:01:00Z</dcterms:modified>
</cp:coreProperties>
</file>